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6B20" w:rsidRDefault="00917592">
      <w:pPr>
        <w:spacing w:after="0" w:line="240" w:lineRule="auto"/>
        <w:jc w:val="center"/>
      </w:pPr>
      <w:r>
        <w:rPr>
          <w:noProof/>
        </w:rPr>
        <w:drawing>
          <wp:anchor distT="0" distB="0" distL="114300" distR="114300" simplePos="0" relativeHeight="251658240" behindDoc="0" locked="0" layoutInCell="0" hidden="0" allowOverlap="1">
            <wp:simplePos x="0" y="0"/>
            <wp:positionH relativeFrom="margin">
              <wp:posOffset>4572000</wp:posOffset>
            </wp:positionH>
            <wp:positionV relativeFrom="paragraph">
              <wp:posOffset>-678180</wp:posOffset>
            </wp:positionV>
            <wp:extent cx="1310640" cy="998220"/>
            <wp:effectExtent l="0" t="0" r="3810" b="0"/>
            <wp:wrapNone/>
            <wp:docPr id="1" name="image2.jpg" descr="Georgia Youth Science and Technology Centers"/>
            <wp:cNvGraphicFramePr/>
            <a:graphic xmlns:a="http://schemas.openxmlformats.org/drawingml/2006/main">
              <a:graphicData uri="http://schemas.openxmlformats.org/drawingml/2006/picture">
                <pic:pic xmlns:pic="http://schemas.openxmlformats.org/drawingml/2006/picture">
                  <pic:nvPicPr>
                    <pic:cNvPr id="0" name="image2.jpg" descr="Georgia Youth Science and Technology Centers"/>
                    <pic:cNvPicPr preferRelativeResize="0"/>
                  </pic:nvPicPr>
                  <pic:blipFill>
                    <a:blip r:embed="rId5"/>
                    <a:srcRect/>
                    <a:stretch>
                      <a:fillRect/>
                    </a:stretch>
                  </pic:blipFill>
                  <pic:spPr>
                    <a:xfrm>
                      <a:off x="0" y="0"/>
                      <a:ext cx="1310640" cy="998220"/>
                    </a:xfrm>
                    <a:prstGeom prst="rect">
                      <a:avLst/>
                    </a:prstGeom>
                    <a:ln/>
                  </pic:spPr>
                </pic:pic>
              </a:graphicData>
            </a:graphic>
            <wp14:sizeRelH relativeFrom="margin">
              <wp14:pctWidth>0</wp14:pctWidth>
            </wp14:sizeRelH>
            <wp14:sizeRelV relativeFrom="margin">
              <wp14:pctHeight>0</wp14:pctHeight>
            </wp14:sizeRelV>
          </wp:anchor>
        </w:drawing>
      </w:r>
      <w:r w:rsidR="00D2717E">
        <w:rPr>
          <w:b/>
          <w:sz w:val="28"/>
          <w:szCs w:val="28"/>
        </w:rPr>
        <w:t xml:space="preserve">GYSTC </w:t>
      </w:r>
      <w:r w:rsidR="00C24741">
        <w:rPr>
          <w:b/>
          <w:sz w:val="28"/>
          <w:szCs w:val="28"/>
        </w:rPr>
        <w:t>2</w:t>
      </w:r>
      <w:r w:rsidR="00C24741" w:rsidRPr="00C24741">
        <w:rPr>
          <w:b/>
          <w:sz w:val="28"/>
          <w:szCs w:val="28"/>
          <w:vertAlign w:val="superscript"/>
        </w:rPr>
        <w:t>nd</w:t>
      </w:r>
      <w:r w:rsidR="00C24741">
        <w:rPr>
          <w:b/>
          <w:sz w:val="28"/>
          <w:szCs w:val="28"/>
        </w:rPr>
        <w:t xml:space="preserve"> </w:t>
      </w:r>
      <w:r w:rsidR="00D2717E">
        <w:rPr>
          <w:b/>
          <w:sz w:val="28"/>
          <w:szCs w:val="28"/>
        </w:rPr>
        <w:t>Grade Lesson</w:t>
      </w:r>
    </w:p>
    <w:p w:rsidR="00F16B20" w:rsidRDefault="00D2717E">
      <w:pPr>
        <w:spacing w:after="0" w:line="240" w:lineRule="auto"/>
        <w:jc w:val="center"/>
      </w:pPr>
      <w:r>
        <w:rPr>
          <w:sz w:val="28"/>
          <w:szCs w:val="28"/>
        </w:rPr>
        <w:t xml:space="preserve">Unit: </w:t>
      </w:r>
      <w:r w:rsidR="00917592">
        <w:rPr>
          <w:sz w:val="28"/>
          <w:szCs w:val="28"/>
        </w:rPr>
        <w:t xml:space="preserve">Properties of Matter </w:t>
      </w:r>
    </w:p>
    <w:tbl>
      <w:tblPr>
        <w:tblStyle w:val="a"/>
        <w:tblW w:w="957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5"/>
        <w:gridCol w:w="3965"/>
      </w:tblGrid>
      <w:tr w:rsidR="00F16B20" w:rsidTr="00303DB4">
        <w:trPr>
          <w:trHeight w:val="144"/>
        </w:trPr>
        <w:tc>
          <w:tcPr>
            <w:tcW w:w="9570" w:type="dxa"/>
            <w:gridSpan w:val="2"/>
            <w:shd w:val="clear" w:color="auto" w:fill="BFBFBF"/>
            <w:tcMar>
              <w:top w:w="105" w:type="dxa"/>
              <w:left w:w="105" w:type="dxa"/>
              <w:bottom w:w="105" w:type="dxa"/>
              <w:right w:w="105" w:type="dxa"/>
            </w:tcMar>
          </w:tcPr>
          <w:p w:rsidR="00F16B20" w:rsidRDefault="00D2717E" w:rsidP="00303DB4">
            <w:pPr>
              <w:spacing w:after="0"/>
              <w:contextualSpacing w:val="0"/>
            </w:pPr>
            <w:r>
              <w:rPr>
                <w:b/>
                <w:sz w:val="28"/>
                <w:szCs w:val="28"/>
              </w:rPr>
              <w:t xml:space="preserve">Title of the Lesson: </w:t>
            </w:r>
            <w:r w:rsidR="00C24741">
              <w:rPr>
                <w:b/>
                <w:sz w:val="28"/>
                <w:szCs w:val="28"/>
              </w:rPr>
              <w:t>The Growing Gator</w:t>
            </w:r>
          </w:p>
          <w:p w:rsidR="00F16B20" w:rsidRDefault="00D2717E" w:rsidP="00303DB4">
            <w:pPr>
              <w:spacing w:after="0"/>
              <w:contextualSpacing w:val="0"/>
            </w:pPr>
            <w:r>
              <w:rPr>
                <w:b/>
              </w:rPr>
              <w:t xml:space="preserve">Estimated Time: </w:t>
            </w:r>
            <w:r w:rsidR="0085591C">
              <w:rPr>
                <w:b/>
              </w:rPr>
              <w:t>1 class period – 4 weeks of data collection</w:t>
            </w:r>
          </w:p>
        </w:tc>
      </w:tr>
      <w:tr w:rsidR="00F16B20" w:rsidTr="00303DB4">
        <w:trPr>
          <w:trHeight w:val="144"/>
        </w:trPr>
        <w:tc>
          <w:tcPr>
            <w:tcW w:w="9570" w:type="dxa"/>
            <w:gridSpan w:val="2"/>
            <w:shd w:val="clear" w:color="auto" w:fill="BFBFBF"/>
            <w:tcMar>
              <w:top w:w="105" w:type="dxa"/>
              <w:left w:w="105" w:type="dxa"/>
              <w:bottom w:w="105" w:type="dxa"/>
              <w:right w:w="105" w:type="dxa"/>
            </w:tcMar>
          </w:tcPr>
          <w:p w:rsidR="00F16B20" w:rsidRDefault="00D2717E" w:rsidP="00303DB4">
            <w:pPr>
              <w:spacing w:after="0"/>
              <w:contextualSpacing w:val="0"/>
            </w:pPr>
            <w:r>
              <w:rPr>
                <w:b/>
                <w:sz w:val="28"/>
                <w:szCs w:val="28"/>
              </w:rPr>
              <w:t>Standards:</w:t>
            </w:r>
            <w:r w:rsidR="00C24741">
              <w:t xml:space="preserve"> S2P1. Obtain, evaluate, and communicate information about the properties of matter and changes that occur in objects.</w:t>
            </w:r>
          </w:p>
          <w:p w:rsidR="00C24741" w:rsidRPr="00C24741" w:rsidRDefault="00C24741" w:rsidP="00303DB4">
            <w:pPr>
              <w:spacing w:after="0"/>
              <w:contextualSpacing w:val="0"/>
            </w:pPr>
            <w:r>
              <w:t>a. Ask questions to describe and classify different objects according to their physical properties. (Clarification statement: Examples of physical properties could include color, mass, length, texture, hardness, strength, absorbency, and flexibility.)</w:t>
            </w:r>
          </w:p>
        </w:tc>
      </w:tr>
      <w:tr w:rsidR="00F16B20" w:rsidTr="00952FFA">
        <w:trPr>
          <w:trHeight w:val="144"/>
        </w:trPr>
        <w:tc>
          <w:tcPr>
            <w:tcW w:w="5605" w:type="dxa"/>
            <w:shd w:val="clear" w:color="auto" w:fill="BFBFBF"/>
            <w:tcMar>
              <w:top w:w="105" w:type="dxa"/>
              <w:left w:w="105" w:type="dxa"/>
              <w:bottom w:w="105" w:type="dxa"/>
              <w:right w:w="105" w:type="dxa"/>
            </w:tcMar>
          </w:tcPr>
          <w:p w:rsidR="00F16B20" w:rsidRDefault="00D2717E" w:rsidP="00303DB4">
            <w:pPr>
              <w:spacing w:after="0" w:line="240" w:lineRule="auto"/>
              <w:contextualSpacing w:val="0"/>
              <w:rPr>
                <w:b/>
                <w:sz w:val="28"/>
                <w:szCs w:val="28"/>
              </w:rPr>
            </w:pPr>
            <w:r>
              <w:rPr>
                <w:b/>
                <w:sz w:val="28"/>
                <w:szCs w:val="28"/>
              </w:rPr>
              <w:t xml:space="preserve">Science and Engineering Practices </w:t>
            </w:r>
          </w:p>
        </w:tc>
        <w:tc>
          <w:tcPr>
            <w:tcW w:w="3965" w:type="dxa"/>
            <w:shd w:val="clear" w:color="auto" w:fill="BFBFBF"/>
            <w:tcMar>
              <w:top w:w="115" w:type="dxa"/>
              <w:left w:w="115" w:type="dxa"/>
              <w:bottom w:w="115" w:type="dxa"/>
              <w:right w:w="115" w:type="dxa"/>
            </w:tcMar>
          </w:tcPr>
          <w:p w:rsidR="00F16B20" w:rsidRDefault="00D2717E" w:rsidP="00303DB4">
            <w:pPr>
              <w:spacing w:after="0" w:line="240" w:lineRule="auto"/>
              <w:contextualSpacing w:val="0"/>
              <w:rPr>
                <w:b/>
                <w:sz w:val="28"/>
                <w:szCs w:val="28"/>
              </w:rPr>
            </w:pPr>
            <w:r>
              <w:rPr>
                <w:b/>
                <w:sz w:val="28"/>
                <w:szCs w:val="28"/>
              </w:rPr>
              <w:t xml:space="preserve">Crosscutting Concepts </w:t>
            </w:r>
          </w:p>
        </w:tc>
      </w:tr>
      <w:tr w:rsidR="00F16B20" w:rsidTr="00952FFA">
        <w:trPr>
          <w:trHeight w:val="144"/>
        </w:trPr>
        <w:tc>
          <w:tcPr>
            <w:tcW w:w="5605" w:type="dxa"/>
            <w:shd w:val="clear" w:color="auto" w:fill="BFBFBF"/>
            <w:tcMar>
              <w:top w:w="105" w:type="dxa"/>
              <w:left w:w="105" w:type="dxa"/>
              <w:bottom w:w="105" w:type="dxa"/>
              <w:right w:w="105" w:type="dxa"/>
            </w:tcMar>
          </w:tcPr>
          <w:p w:rsidR="00F16B20" w:rsidRDefault="00517577" w:rsidP="00303DB4">
            <w:pPr>
              <w:spacing w:after="0" w:line="240" w:lineRule="auto"/>
              <w:contextualSpacing w:val="0"/>
              <w:rPr>
                <w:b/>
                <w:sz w:val="24"/>
                <w:szCs w:val="24"/>
              </w:rPr>
            </w:pPr>
            <w:r>
              <w:rPr>
                <w:b/>
                <w:sz w:val="24"/>
                <w:szCs w:val="24"/>
              </w:rPr>
              <w:t>Asking Questions and Defining Problems</w:t>
            </w:r>
          </w:p>
          <w:p w:rsidR="00517577" w:rsidRDefault="00A111EA" w:rsidP="00303DB4">
            <w:pPr>
              <w:spacing w:after="0" w:line="240" w:lineRule="auto"/>
              <w:contextualSpacing w:val="0"/>
            </w:pPr>
            <w:r>
              <w:t>Ask and/or identify questions that can be answered by an investigation.</w:t>
            </w:r>
          </w:p>
          <w:p w:rsidR="00A111EA" w:rsidRDefault="00A111EA" w:rsidP="00303DB4">
            <w:pPr>
              <w:spacing w:after="0" w:line="240" w:lineRule="auto"/>
              <w:contextualSpacing w:val="0"/>
              <w:rPr>
                <w:sz w:val="24"/>
                <w:szCs w:val="24"/>
              </w:rPr>
            </w:pPr>
          </w:p>
          <w:p w:rsidR="00517577" w:rsidRDefault="00517577" w:rsidP="00303DB4">
            <w:pPr>
              <w:spacing w:after="0" w:line="240" w:lineRule="auto"/>
              <w:contextualSpacing w:val="0"/>
              <w:rPr>
                <w:b/>
                <w:sz w:val="24"/>
                <w:szCs w:val="24"/>
              </w:rPr>
            </w:pPr>
            <w:r w:rsidRPr="00517577">
              <w:rPr>
                <w:b/>
                <w:sz w:val="24"/>
                <w:szCs w:val="24"/>
              </w:rPr>
              <w:t>Analyzing and Interpreting Data</w:t>
            </w:r>
          </w:p>
          <w:p w:rsidR="005050A4" w:rsidRDefault="005050A4" w:rsidP="00303DB4">
            <w:pPr>
              <w:spacing w:after="0" w:line="240" w:lineRule="auto"/>
              <w:contextualSpacing w:val="0"/>
              <w:rPr>
                <w:b/>
                <w:sz w:val="24"/>
                <w:szCs w:val="24"/>
              </w:rPr>
            </w:pPr>
            <w:r>
              <w:t xml:space="preserve"> Record information (observations, thoughts, and ideas). Compare predictions (based on prior experiences) to what occurred (observable events).</w:t>
            </w:r>
          </w:p>
          <w:p w:rsidR="00A07329" w:rsidRDefault="00A07329" w:rsidP="00303DB4">
            <w:pPr>
              <w:spacing w:after="0" w:line="240" w:lineRule="auto"/>
              <w:contextualSpacing w:val="0"/>
              <w:rPr>
                <w:sz w:val="24"/>
                <w:szCs w:val="24"/>
              </w:rPr>
            </w:pPr>
          </w:p>
          <w:p w:rsidR="00A07329" w:rsidRDefault="00A07329" w:rsidP="00303DB4">
            <w:pPr>
              <w:spacing w:after="0" w:line="240" w:lineRule="auto"/>
              <w:contextualSpacing w:val="0"/>
              <w:rPr>
                <w:b/>
                <w:sz w:val="24"/>
                <w:szCs w:val="24"/>
              </w:rPr>
            </w:pPr>
            <w:r w:rsidRPr="00A07329">
              <w:rPr>
                <w:b/>
                <w:sz w:val="24"/>
                <w:szCs w:val="24"/>
              </w:rPr>
              <w:t>Using Math and Computational Thinking</w:t>
            </w:r>
          </w:p>
          <w:p w:rsidR="00A111EA" w:rsidRDefault="00A111EA" w:rsidP="00303DB4">
            <w:pPr>
              <w:spacing w:after="0" w:line="240" w:lineRule="auto"/>
              <w:contextualSpacing w:val="0"/>
              <w:rPr>
                <w:b/>
                <w:sz w:val="24"/>
                <w:szCs w:val="24"/>
              </w:rPr>
            </w:pPr>
            <w:r>
              <w:t>Describe, measure, and/or compare quantitative attributes of different objects and display the data using simple graphs.</w:t>
            </w:r>
          </w:p>
          <w:p w:rsidR="00A07329" w:rsidRDefault="00A07329" w:rsidP="00303DB4">
            <w:pPr>
              <w:spacing w:after="0" w:line="240" w:lineRule="auto"/>
              <w:contextualSpacing w:val="0"/>
              <w:rPr>
                <w:b/>
                <w:sz w:val="24"/>
                <w:szCs w:val="24"/>
              </w:rPr>
            </w:pPr>
          </w:p>
          <w:p w:rsidR="00A07329" w:rsidRDefault="00A07329" w:rsidP="00303DB4">
            <w:pPr>
              <w:spacing w:after="0" w:line="240" w:lineRule="auto"/>
              <w:contextualSpacing w:val="0"/>
              <w:rPr>
                <w:b/>
                <w:sz w:val="24"/>
                <w:szCs w:val="24"/>
              </w:rPr>
            </w:pPr>
            <w:r>
              <w:rPr>
                <w:b/>
                <w:sz w:val="24"/>
                <w:szCs w:val="24"/>
              </w:rPr>
              <w:t>Planning and Carrying out an Investigation</w:t>
            </w:r>
          </w:p>
          <w:p w:rsidR="005050A4" w:rsidRDefault="005050A4" w:rsidP="00303DB4">
            <w:pPr>
              <w:spacing w:after="0" w:line="240" w:lineRule="auto"/>
              <w:contextualSpacing w:val="0"/>
            </w:pPr>
            <w:r>
              <w:t xml:space="preserve">Make observations (firsthand or from media) and/or measurements to collect data that can be used to make comparisons. </w:t>
            </w:r>
          </w:p>
          <w:p w:rsidR="005050A4" w:rsidRPr="00A07329" w:rsidRDefault="005050A4" w:rsidP="00303DB4">
            <w:pPr>
              <w:spacing w:after="0" w:line="240" w:lineRule="auto"/>
              <w:contextualSpacing w:val="0"/>
              <w:rPr>
                <w:b/>
                <w:sz w:val="24"/>
                <w:szCs w:val="24"/>
              </w:rPr>
            </w:pPr>
            <w:r>
              <w:t>Make predictions based on prior experiences.</w:t>
            </w:r>
          </w:p>
          <w:p w:rsidR="00F16B20" w:rsidRDefault="00F16B20" w:rsidP="00303DB4">
            <w:pPr>
              <w:spacing w:after="0" w:line="240" w:lineRule="auto"/>
              <w:contextualSpacing w:val="0"/>
              <w:rPr>
                <w:sz w:val="18"/>
                <w:szCs w:val="18"/>
              </w:rPr>
            </w:pPr>
          </w:p>
        </w:tc>
        <w:tc>
          <w:tcPr>
            <w:tcW w:w="3965" w:type="dxa"/>
            <w:shd w:val="clear" w:color="auto" w:fill="BFBFBF"/>
            <w:tcMar>
              <w:top w:w="115" w:type="dxa"/>
              <w:left w:w="115" w:type="dxa"/>
              <w:bottom w:w="115" w:type="dxa"/>
              <w:right w:w="115" w:type="dxa"/>
            </w:tcMar>
          </w:tcPr>
          <w:p w:rsidR="00F16B20" w:rsidRDefault="00A07329" w:rsidP="00303DB4">
            <w:pPr>
              <w:spacing w:after="0" w:line="240" w:lineRule="auto"/>
              <w:contextualSpacing w:val="0"/>
              <w:rPr>
                <w:b/>
                <w:sz w:val="24"/>
                <w:szCs w:val="24"/>
              </w:rPr>
            </w:pPr>
            <w:r>
              <w:rPr>
                <w:b/>
                <w:sz w:val="24"/>
                <w:szCs w:val="24"/>
              </w:rPr>
              <w:t>Cause and Effect</w:t>
            </w:r>
          </w:p>
          <w:p w:rsidR="00A111EA" w:rsidRDefault="00A111EA" w:rsidP="00303DB4">
            <w:pPr>
              <w:spacing w:after="0" w:line="240" w:lineRule="auto"/>
              <w:contextualSpacing w:val="0"/>
            </w:pPr>
            <w:r>
              <w:t>Events have causes that generate observable patterns.</w:t>
            </w:r>
          </w:p>
          <w:p w:rsidR="00A111EA" w:rsidRDefault="00A111EA" w:rsidP="00303DB4">
            <w:pPr>
              <w:spacing w:after="0" w:line="240" w:lineRule="auto"/>
              <w:contextualSpacing w:val="0"/>
            </w:pPr>
          </w:p>
          <w:p w:rsidR="00A111EA" w:rsidRDefault="00A111EA" w:rsidP="00303DB4">
            <w:pPr>
              <w:spacing w:after="0" w:line="240" w:lineRule="auto"/>
              <w:contextualSpacing w:val="0"/>
              <w:rPr>
                <w:b/>
                <w:sz w:val="24"/>
                <w:szCs w:val="24"/>
              </w:rPr>
            </w:pPr>
            <w:r w:rsidRPr="006A129C">
              <w:rPr>
                <w:b/>
                <w:sz w:val="24"/>
                <w:szCs w:val="24"/>
              </w:rPr>
              <w:t>Scale, Proportion, and Quantity</w:t>
            </w:r>
          </w:p>
          <w:p w:rsidR="006A129C" w:rsidRDefault="006A129C" w:rsidP="00303DB4">
            <w:pPr>
              <w:spacing w:after="0" w:line="240" w:lineRule="auto"/>
            </w:pPr>
            <w:r>
              <w:t xml:space="preserve">Relative scales allow objects and events to be compared and described (e.g., bigger and smaller; hotter and colder; faster and slower). </w:t>
            </w:r>
          </w:p>
          <w:p w:rsidR="00F16B20" w:rsidRDefault="006A129C" w:rsidP="00303DB4">
            <w:pPr>
              <w:spacing w:after="0" w:line="240" w:lineRule="auto"/>
            </w:pPr>
            <w:r>
              <w:t>Standard units are used to measure length.</w:t>
            </w:r>
          </w:p>
        </w:tc>
      </w:tr>
      <w:tr w:rsidR="00F16B20" w:rsidTr="00952FFA">
        <w:trPr>
          <w:trHeight w:val="144"/>
        </w:trPr>
        <w:tc>
          <w:tcPr>
            <w:tcW w:w="5605" w:type="dxa"/>
            <w:shd w:val="clear" w:color="auto" w:fill="BFBFBF"/>
            <w:tcMar>
              <w:top w:w="105" w:type="dxa"/>
              <w:left w:w="105" w:type="dxa"/>
              <w:bottom w:w="105" w:type="dxa"/>
              <w:right w:w="105" w:type="dxa"/>
            </w:tcMar>
          </w:tcPr>
          <w:p w:rsidR="00BB720E" w:rsidRDefault="00D2717E" w:rsidP="00303DB4">
            <w:pPr>
              <w:spacing w:after="0"/>
              <w:contextualSpacing w:val="0"/>
            </w:pPr>
            <w:r>
              <w:rPr>
                <w:b/>
                <w:sz w:val="28"/>
                <w:szCs w:val="28"/>
              </w:rPr>
              <w:t>Big Ideas/Enduring Understandings:</w:t>
            </w:r>
            <w:r w:rsidR="00BB720E">
              <w:t xml:space="preserve"> Everything is made of matter and can change.</w:t>
            </w:r>
          </w:p>
          <w:p w:rsidR="00F16B20" w:rsidRDefault="00BB720E" w:rsidP="00303DB4">
            <w:pPr>
              <w:spacing w:after="0"/>
              <w:contextualSpacing w:val="0"/>
            </w:pPr>
            <w:r>
              <w:t xml:space="preserve">Not all matter changes the same way. </w:t>
            </w:r>
          </w:p>
          <w:p w:rsidR="00BB720E" w:rsidRDefault="00BB720E" w:rsidP="00303DB4">
            <w:pPr>
              <w:spacing w:after="0"/>
              <w:contextualSpacing w:val="0"/>
            </w:pPr>
          </w:p>
          <w:p w:rsidR="00F16B20" w:rsidRDefault="00D2717E" w:rsidP="00303DB4">
            <w:pPr>
              <w:spacing w:after="0"/>
              <w:contextualSpacing w:val="0"/>
              <w:rPr>
                <w:b/>
                <w:sz w:val="28"/>
                <w:szCs w:val="28"/>
              </w:rPr>
            </w:pPr>
            <w:r>
              <w:rPr>
                <w:b/>
                <w:sz w:val="28"/>
                <w:szCs w:val="28"/>
              </w:rPr>
              <w:t>Essential Questions:</w:t>
            </w:r>
          </w:p>
          <w:p w:rsidR="00F16B20" w:rsidRDefault="00BB720E" w:rsidP="00D4578C">
            <w:pPr>
              <w:spacing w:after="0"/>
              <w:contextualSpacing w:val="0"/>
            </w:pPr>
            <w:r>
              <w:t xml:space="preserve">How can matter be changed? </w:t>
            </w:r>
            <w:r w:rsidR="00A542B1">
              <w:t xml:space="preserve">How do changes affect matter? </w:t>
            </w:r>
            <w:r>
              <w:t xml:space="preserve">What are some of the ways matter can change? </w:t>
            </w:r>
          </w:p>
        </w:tc>
        <w:tc>
          <w:tcPr>
            <w:tcW w:w="3965" w:type="dxa"/>
            <w:shd w:val="clear" w:color="auto" w:fill="BFBFBF"/>
            <w:tcMar>
              <w:top w:w="115" w:type="dxa"/>
              <w:left w:w="115" w:type="dxa"/>
              <w:bottom w:w="115" w:type="dxa"/>
              <w:right w:w="115" w:type="dxa"/>
            </w:tcMar>
          </w:tcPr>
          <w:p w:rsidR="00F16B20" w:rsidRDefault="00D2717E" w:rsidP="00303DB4">
            <w:pPr>
              <w:spacing w:after="0"/>
              <w:contextualSpacing w:val="0"/>
              <w:rPr>
                <w:b/>
                <w:sz w:val="28"/>
                <w:szCs w:val="28"/>
              </w:rPr>
            </w:pPr>
            <w:r>
              <w:rPr>
                <w:b/>
                <w:sz w:val="28"/>
                <w:szCs w:val="28"/>
              </w:rPr>
              <w:t>Vocabulary:</w:t>
            </w:r>
          </w:p>
          <w:p w:rsidR="00A542B1" w:rsidRPr="00A542B1" w:rsidRDefault="00A542B1" w:rsidP="00303DB4">
            <w:pPr>
              <w:spacing w:after="0"/>
              <w:contextualSpacing w:val="0"/>
            </w:pPr>
            <w:r w:rsidRPr="00A542B1">
              <w:t>Matter</w:t>
            </w:r>
          </w:p>
          <w:p w:rsidR="006A129C" w:rsidRPr="00A542B1" w:rsidRDefault="006A129C" w:rsidP="00303DB4">
            <w:pPr>
              <w:spacing w:after="0"/>
              <w:contextualSpacing w:val="0"/>
            </w:pPr>
            <w:r w:rsidRPr="00A542B1">
              <w:t>Length</w:t>
            </w:r>
          </w:p>
          <w:p w:rsidR="006A129C" w:rsidRPr="00A542B1" w:rsidRDefault="006A129C" w:rsidP="00303DB4">
            <w:pPr>
              <w:spacing w:after="0"/>
              <w:contextualSpacing w:val="0"/>
            </w:pPr>
            <w:r w:rsidRPr="00A542B1">
              <w:t>Mass</w:t>
            </w:r>
          </w:p>
          <w:p w:rsidR="006A129C" w:rsidRPr="00A542B1" w:rsidRDefault="00BB720E" w:rsidP="00303DB4">
            <w:pPr>
              <w:spacing w:after="0"/>
              <w:contextualSpacing w:val="0"/>
            </w:pPr>
            <w:r w:rsidRPr="00A542B1">
              <w:t>Hydrophilic</w:t>
            </w:r>
          </w:p>
          <w:p w:rsidR="00BB720E" w:rsidRPr="00A542B1" w:rsidRDefault="00BB720E" w:rsidP="00303DB4">
            <w:pPr>
              <w:spacing w:after="0"/>
              <w:contextualSpacing w:val="0"/>
            </w:pPr>
            <w:r w:rsidRPr="00A542B1">
              <w:t>Hydrophobic</w:t>
            </w:r>
          </w:p>
          <w:p w:rsidR="00BB720E" w:rsidRPr="00A542B1" w:rsidRDefault="00BB720E" w:rsidP="00303DB4">
            <w:pPr>
              <w:spacing w:after="0"/>
              <w:contextualSpacing w:val="0"/>
            </w:pPr>
            <w:r w:rsidRPr="00A542B1">
              <w:t xml:space="preserve">Polymer </w:t>
            </w:r>
          </w:p>
          <w:p w:rsidR="00F16B20" w:rsidRDefault="00F16B20" w:rsidP="00303DB4">
            <w:pPr>
              <w:spacing w:after="0"/>
              <w:contextualSpacing w:val="0"/>
              <w:jc w:val="both"/>
            </w:pPr>
          </w:p>
          <w:p w:rsidR="00F16B20" w:rsidRDefault="00F16B20" w:rsidP="00303DB4">
            <w:pPr>
              <w:spacing w:after="0"/>
              <w:contextualSpacing w:val="0"/>
            </w:pPr>
          </w:p>
        </w:tc>
      </w:tr>
      <w:tr w:rsidR="00F16B20" w:rsidTr="00952FFA">
        <w:trPr>
          <w:trHeight w:val="1056"/>
        </w:trPr>
        <w:tc>
          <w:tcPr>
            <w:tcW w:w="5605" w:type="dxa"/>
            <w:vMerge w:val="restart"/>
            <w:shd w:val="clear" w:color="auto" w:fill="FFFFFF"/>
            <w:tcMar>
              <w:top w:w="105" w:type="dxa"/>
              <w:left w:w="105" w:type="dxa"/>
              <w:bottom w:w="105" w:type="dxa"/>
              <w:right w:w="105" w:type="dxa"/>
            </w:tcMar>
          </w:tcPr>
          <w:p w:rsidR="00F16B20" w:rsidRDefault="00D2717E" w:rsidP="00303DB4">
            <w:pPr>
              <w:spacing w:after="0"/>
              <w:contextualSpacing w:val="0"/>
              <w:rPr>
                <w:b/>
                <w:sz w:val="28"/>
                <w:szCs w:val="28"/>
              </w:rPr>
            </w:pPr>
            <w:r>
              <w:rPr>
                <w:b/>
                <w:sz w:val="28"/>
                <w:szCs w:val="28"/>
              </w:rPr>
              <w:lastRenderedPageBreak/>
              <w:t>Materials:</w:t>
            </w:r>
          </w:p>
          <w:p w:rsidR="00A542B1" w:rsidRDefault="006A129C" w:rsidP="00303DB4">
            <w:pPr>
              <w:spacing w:after="0"/>
              <w:contextualSpacing w:val="0"/>
            </w:pPr>
            <w:r w:rsidRPr="00A542B1">
              <w:t xml:space="preserve">1 </w:t>
            </w:r>
            <w:r w:rsidR="00A07329" w:rsidRPr="00A542B1">
              <w:t xml:space="preserve">Gro-Beast Alligator </w:t>
            </w:r>
            <w:r w:rsidRPr="00A542B1">
              <w:t>per group of 3-4 students</w:t>
            </w:r>
          </w:p>
          <w:p w:rsidR="00A07329" w:rsidRPr="00A542B1" w:rsidRDefault="00BB720E" w:rsidP="00303DB4">
            <w:pPr>
              <w:spacing w:after="0"/>
              <w:contextualSpacing w:val="0"/>
            </w:pPr>
            <w:r w:rsidRPr="00A542B1">
              <w:t xml:space="preserve"> </w:t>
            </w:r>
            <w:r w:rsidR="00A07329" w:rsidRPr="00A542B1">
              <w:t xml:space="preserve">(can be purchased from </w:t>
            </w:r>
            <w:hyperlink r:id="rId6" w:history="1">
              <w:r w:rsidR="00A07329" w:rsidRPr="00A542B1">
                <w:rPr>
                  <w:rStyle w:val="Hyperlink"/>
                </w:rPr>
                <w:t>https://www.teachersource.com/</w:t>
              </w:r>
            </w:hyperlink>
            <w:r w:rsidR="00A07329" w:rsidRPr="00A542B1">
              <w:t xml:space="preserve"> )</w:t>
            </w:r>
          </w:p>
          <w:p w:rsidR="0085591C" w:rsidRPr="00A542B1" w:rsidRDefault="0085591C" w:rsidP="00303DB4">
            <w:pPr>
              <w:spacing w:after="0"/>
              <w:contextualSpacing w:val="0"/>
            </w:pPr>
            <w:r w:rsidRPr="00A542B1">
              <w:t>Large pan</w:t>
            </w:r>
            <w:r w:rsidR="004E2185">
              <w:t xml:space="preserve"> or plastic bin </w:t>
            </w:r>
          </w:p>
          <w:p w:rsidR="0085591C" w:rsidRDefault="0085591C" w:rsidP="00303DB4">
            <w:pPr>
              <w:spacing w:after="0"/>
              <w:contextualSpacing w:val="0"/>
            </w:pPr>
            <w:r w:rsidRPr="00A542B1">
              <w:t>Water</w:t>
            </w:r>
          </w:p>
          <w:p w:rsidR="00A542B1" w:rsidRDefault="00A542B1" w:rsidP="00303DB4">
            <w:pPr>
              <w:spacing w:after="0"/>
              <w:contextualSpacing w:val="0"/>
            </w:pPr>
            <w:r>
              <w:t>Ruler or measuring tape/ group</w:t>
            </w:r>
          </w:p>
          <w:p w:rsidR="00F16B20" w:rsidRDefault="00A542B1" w:rsidP="00303DB4">
            <w:pPr>
              <w:spacing w:after="0"/>
              <w:contextualSpacing w:val="0"/>
            </w:pPr>
            <w:r>
              <w:t>Balance /group</w:t>
            </w:r>
          </w:p>
        </w:tc>
        <w:tc>
          <w:tcPr>
            <w:tcW w:w="3965" w:type="dxa"/>
            <w:shd w:val="clear" w:color="auto" w:fill="FFFFFF"/>
            <w:tcMar>
              <w:top w:w="115" w:type="dxa"/>
              <w:left w:w="115" w:type="dxa"/>
              <w:bottom w:w="115" w:type="dxa"/>
              <w:right w:w="115" w:type="dxa"/>
            </w:tcMar>
          </w:tcPr>
          <w:p w:rsidR="00F16B20" w:rsidRDefault="00D2717E" w:rsidP="00303DB4">
            <w:pPr>
              <w:spacing w:after="0"/>
              <w:contextualSpacing w:val="0"/>
              <w:rPr>
                <w:b/>
                <w:sz w:val="28"/>
                <w:szCs w:val="28"/>
              </w:rPr>
            </w:pPr>
            <w:r>
              <w:rPr>
                <w:b/>
                <w:sz w:val="28"/>
                <w:szCs w:val="28"/>
              </w:rPr>
              <w:t>Safety Considerations:</w:t>
            </w:r>
          </w:p>
          <w:p w:rsidR="00BB720E" w:rsidRPr="00A542B1" w:rsidRDefault="00BB720E" w:rsidP="00303DB4">
            <w:pPr>
              <w:spacing w:after="0"/>
              <w:contextualSpacing w:val="0"/>
            </w:pPr>
            <w:r w:rsidRPr="00A542B1">
              <w:t>None</w:t>
            </w:r>
          </w:p>
          <w:p w:rsidR="00F16B20" w:rsidRDefault="00D2717E" w:rsidP="00303DB4">
            <w:pPr>
              <w:spacing w:after="0"/>
              <w:contextualSpacing w:val="0"/>
            </w:pPr>
            <w:r>
              <w:rPr>
                <w:sz w:val="24"/>
                <w:szCs w:val="24"/>
              </w:rPr>
              <w:t xml:space="preserve"> </w:t>
            </w:r>
          </w:p>
        </w:tc>
      </w:tr>
      <w:tr w:rsidR="00F16B20" w:rsidTr="00917592">
        <w:trPr>
          <w:trHeight w:val="1369"/>
        </w:trPr>
        <w:tc>
          <w:tcPr>
            <w:tcW w:w="5605" w:type="dxa"/>
            <w:vMerge/>
            <w:shd w:val="clear" w:color="auto" w:fill="FFFFFF"/>
            <w:tcMar>
              <w:top w:w="105" w:type="dxa"/>
              <w:left w:w="105" w:type="dxa"/>
              <w:bottom w:w="105" w:type="dxa"/>
              <w:right w:w="105" w:type="dxa"/>
            </w:tcMar>
          </w:tcPr>
          <w:p w:rsidR="00F16B20" w:rsidRDefault="00F16B20" w:rsidP="00303DB4">
            <w:pPr>
              <w:spacing w:before="100" w:after="100"/>
              <w:contextualSpacing w:val="0"/>
            </w:pPr>
          </w:p>
        </w:tc>
        <w:tc>
          <w:tcPr>
            <w:tcW w:w="3965" w:type="dxa"/>
            <w:shd w:val="clear" w:color="auto" w:fill="FFFFFF"/>
            <w:tcMar>
              <w:top w:w="115" w:type="dxa"/>
              <w:left w:w="115" w:type="dxa"/>
              <w:bottom w:w="115" w:type="dxa"/>
              <w:right w:w="115" w:type="dxa"/>
            </w:tcMar>
          </w:tcPr>
          <w:p w:rsidR="0085591C" w:rsidRDefault="00D2717E" w:rsidP="00303DB4">
            <w:pPr>
              <w:spacing w:after="0"/>
              <w:contextualSpacing w:val="0"/>
              <w:rPr>
                <w:b/>
                <w:sz w:val="28"/>
                <w:szCs w:val="28"/>
              </w:rPr>
            </w:pPr>
            <w:r>
              <w:rPr>
                <w:b/>
                <w:sz w:val="28"/>
                <w:szCs w:val="28"/>
              </w:rPr>
              <w:t xml:space="preserve"> Technology Integration:</w:t>
            </w:r>
          </w:p>
          <w:p w:rsidR="00F16B20" w:rsidRDefault="0085591C" w:rsidP="00303DB4">
            <w:pPr>
              <w:spacing w:after="0"/>
              <w:contextualSpacing w:val="0"/>
            </w:pPr>
            <w:r w:rsidRPr="00A542B1">
              <w:t>Students can graph their data electronically and use it to evaluate their results.</w:t>
            </w:r>
            <w:r w:rsidR="00D2717E" w:rsidRPr="00A542B1">
              <w:rPr>
                <w:b/>
              </w:rPr>
              <w:t xml:space="preserve"> </w:t>
            </w:r>
          </w:p>
        </w:tc>
      </w:tr>
      <w:tr w:rsidR="00F16B20" w:rsidTr="00DA40C1">
        <w:trPr>
          <w:trHeight w:val="1568"/>
        </w:trPr>
        <w:tc>
          <w:tcPr>
            <w:tcW w:w="9570" w:type="dxa"/>
            <w:gridSpan w:val="2"/>
            <w:shd w:val="clear" w:color="auto" w:fill="FFFFFF"/>
            <w:tcMar>
              <w:top w:w="105" w:type="dxa"/>
              <w:left w:w="105" w:type="dxa"/>
              <w:bottom w:w="105" w:type="dxa"/>
              <w:right w:w="105" w:type="dxa"/>
            </w:tcMar>
          </w:tcPr>
          <w:p w:rsidR="00F16B20" w:rsidRDefault="00D2717E" w:rsidP="00303DB4">
            <w:pPr>
              <w:spacing w:after="0"/>
              <w:contextualSpacing w:val="0"/>
              <w:rPr>
                <w:b/>
                <w:sz w:val="28"/>
                <w:szCs w:val="28"/>
              </w:rPr>
            </w:pPr>
            <w:r>
              <w:rPr>
                <w:b/>
                <w:sz w:val="28"/>
                <w:szCs w:val="28"/>
              </w:rPr>
              <w:t xml:space="preserve">Phenomena: </w:t>
            </w:r>
          </w:p>
          <w:p w:rsidR="00A07329" w:rsidRDefault="001452BF" w:rsidP="00303DB4">
            <w:pPr>
              <w:spacing w:after="0"/>
              <w:contextualSpacing w:val="0"/>
            </w:pPr>
            <w:r>
              <w:t xml:space="preserve">In this phenomena, students observe the changes that occur </w:t>
            </w:r>
            <w:r w:rsidR="002C6964">
              <w:t xml:space="preserve">in an artificial (plastic) alligator over time. This activity provides a great opportunity for students to make careful observations and measurements as they measure the unexpected changes that happen to the material (matter) that make up the gator.   </w:t>
            </w:r>
          </w:p>
          <w:p w:rsidR="00F16B20" w:rsidRPr="00DA40C1" w:rsidRDefault="006A129C" w:rsidP="00303DB4">
            <w:pPr>
              <w:spacing w:after="0"/>
              <w:contextualSpacing w:val="0"/>
              <w:rPr>
                <w:b/>
              </w:rPr>
            </w:pPr>
            <w:r w:rsidRPr="003C4AFC">
              <w:rPr>
                <w:b/>
              </w:rPr>
              <w:t>Note: Clarify that it will take some time for the changes to occur.</w:t>
            </w:r>
          </w:p>
        </w:tc>
      </w:tr>
      <w:tr w:rsidR="00F16B20" w:rsidTr="00303DB4">
        <w:trPr>
          <w:trHeight w:val="3312"/>
        </w:trPr>
        <w:tc>
          <w:tcPr>
            <w:tcW w:w="9570" w:type="dxa"/>
            <w:gridSpan w:val="2"/>
            <w:shd w:val="clear" w:color="auto" w:fill="FFFFFF"/>
            <w:tcMar>
              <w:top w:w="105" w:type="dxa"/>
              <w:left w:w="105" w:type="dxa"/>
              <w:bottom w:w="105" w:type="dxa"/>
              <w:right w:w="105" w:type="dxa"/>
            </w:tcMar>
          </w:tcPr>
          <w:p w:rsidR="00F16B20" w:rsidRDefault="00D2717E" w:rsidP="00303DB4">
            <w:pPr>
              <w:spacing w:after="0"/>
              <w:contextualSpacing w:val="0"/>
              <w:rPr>
                <w:color w:val="FF0000"/>
              </w:rPr>
            </w:pPr>
            <w:r>
              <w:rPr>
                <w:b/>
                <w:sz w:val="28"/>
                <w:szCs w:val="28"/>
              </w:rPr>
              <w:t>Engage:</w:t>
            </w:r>
            <w:r>
              <w:rPr>
                <w:color w:val="FF0000"/>
              </w:rPr>
              <w:t xml:space="preserve"> </w:t>
            </w:r>
          </w:p>
          <w:p w:rsidR="002C6964" w:rsidRDefault="002C6964" w:rsidP="00303DB4">
            <w:pPr>
              <w:spacing w:after="0"/>
              <w:contextualSpacing w:val="0"/>
              <w:rPr>
                <w:color w:val="FF0000"/>
              </w:rPr>
            </w:pPr>
            <w:r>
              <w:t>Remove your alligator from its package and give students a chance to make as many observations as possible about it.  Explain that the alligator is going to change gradually once you place it in water. Allow students to predict what kind of changes they expect will happen to the gator.</w:t>
            </w:r>
          </w:p>
          <w:p w:rsidR="00A07329" w:rsidRDefault="00A07329" w:rsidP="00303DB4">
            <w:pPr>
              <w:spacing w:after="0"/>
              <w:contextualSpacing w:val="0"/>
            </w:pPr>
            <w:r>
              <w:t xml:space="preserve">Hand out copies of the Alligator Growth Record worksheet on page 6. Encourage students to make predictions about the experiment and write them down on the worksheet. Ask them: </w:t>
            </w:r>
          </w:p>
          <w:p w:rsidR="004E2185" w:rsidRDefault="004E2185" w:rsidP="00303DB4">
            <w:pPr>
              <w:pStyle w:val="ListParagraph"/>
              <w:numPr>
                <w:ilvl w:val="0"/>
                <w:numId w:val="2"/>
              </w:numPr>
              <w:spacing w:after="0"/>
            </w:pPr>
            <w:r>
              <w:t xml:space="preserve">Observe your gator closely and use as many words as possible to describe your gator. </w:t>
            </w:r>
          </w:p>
          <w:p w:rsidR="00B75DBE" w:rsidRDefault="00B75DBE" w:rsidP="00303DB4">
            <w:pPr>
              <w:pStyle w:val="ListParagraph"/>
              <w:numPr>
                <w:ilvl w:val="0"/>
                <w:numId w:val="2"/>
              </w:numPr>
              <w:spacing w:after="0"/>
            </w:pPr>
            <w:r>
              <w:t xml:space="preserve">What kind of changes do you predict will happen to the gator when it is placed in water? </w:t>
            </w:r>
          </w:p>
          <w:p w:rsidR="00A07329" w:rsidRDefault="00A07329" w:rsidP="00303DB4">
            <w:pPr>
              <w:pStyle w:val="ListParagraph"/>
              <w:numPr>
                <w:ilvl w:val="0"/>
                <w:numId w:val="2"/>
              </w:numPr>
              <w:spacing w:after="0"/>
            </w:pPr>
            <w:r>
              <w:t xml:space="preserve">Can you estimate how long it is right now? </w:t>
            </w:r>
          </w:p>
          <w:p w:rsidR="00A07329" w:rsidRDefault="00A07329" w:rsidP="00303DB4">
            <w:pPr>
              <w:pStyle w:val="ListParagraph"/>
              <w:numPr>
                <w:ilvl w:val="0"/>
                <w:numId w:val="2"/>
              </w:numPr>
              <w:spacing w:after="0"/>
            </w:pPr>
            <w:r>
              <w:t xml:space="preserve">How many centimeters? </w:t>
            </w:r>
          </w:p>
          <w:p w:rsidR="00A07329" w:rsidRDefault="00A07329" w:rsidP="00303DB4">
            <w:pPr>
              <w:pStyle w:val="ListParagraph"/>
              <w:numPr>
                <w:ilvl w:val="0"/>
                <w:numId w:val="2"/>
              </w:numPr>
              <w:spacing w:after="0"/>
            </w:pPr>
            <w:r>
              <w:t xml:space="preserve">Can you estimate </w:t>
            </w:r>
            <w:proofErr w:type="gramStart"/>
            <w:r>
              <w:t>it’s</w:t>
            </w:r>
            <w:proofErr w:type="gramEnd"/>
            <w:r>
              <w:t xml:space="preserve"> mass? </w:t>
            </w:r>
          </w:p>
          <w:p w:rsidR="00A07329" w:rsidRDefault="00A07329" w:rsidP="00B75DBE">
            <w:pPr>
              <w:pStyle w:val="ListParagraph"/>
              <w:numPr>
                <w:ilvl w:val="0"/>
                <w:numId w:val="2"/>
              </w:numPr>
              <w:spacing w:after="0"/>
            </w:pPr>
            <w:r>
              <w:t xml:space="preserve">How </w:t>
            </w:r>
            <w:r w:rsidR="00B75DBE">
              <w:t>long will it get after one day, 3 days, a</w:t>
            </w:r>
            <w:r>
              <w:t xml:space="preserve"> week?  </w:t>
            </w:r>
          </w:p>
          <w:p w:rsidR="00F16B20" w:rsidRDefault="00A07329" w:rsidP="00DA40C1">
            <w:pPr>
              <w:pStyle w:val="ListParagraph"/>
              <w:numPr>
                <w:ilvl w:val="0"/>
                <w:numId w:val="2"/>
              </w:numPr>
              <w:spacing w:after="0"/>
            </w:pPr>
            <w:r>
              <w:t>How heavy do you think it will get?</w:t>
            </w:r>
          </w:p>
        </w:tc>
      </w:tr>
      <w:tr w:rsidR="00F16B20" w:rsidTr="009E6DA0">
        <w:trPr>
          <w:trHeight w:val="605"/>
        </w:trPr>
        <w:tc>
          <w:tcPr>
            <w:tcW w:w="9570" w:type="dxa"/>
            <w:gridSpan w:val="2"/>
            <w:shd w:val="clear" w:color="auto" w:fill="FFFFFF"/>
            <w:tcMar>
              <w:top w:w="105" w:type="dxa"/>
              <w:left w:w="105" w:type="dxa"/>
              <w:bottom w:w="105" w:type="dxa"/>
              <w:right w:w="105" w:type="dxa"/>
            </w:tcMar>
          </w:tcPr>
          <w:p w:rsidR="00F16B20" w:rsidRDefault="00D2717E" w:rsidP="00303DB4">
            <w:pPr>
              <w:spacing w:after="0"/>
              <w:contextualSpacing w:val="0"/>
              <w:rPr>
                <w:sz w:val="24"/>
                <w:szCs w:val="24"/>
              </w:rPr>
            </w:pPr>
            <w:r>
              <w:rPr>
                <w:b/>
                <w:sz w:val="28"/>
                <w:szCs w:val="28"/>
              </w:rPr>
              <w:t>Explore</w:t>
            </w:r>
            <w:r>
              <w:rPr>
                <w:sz w:val="24"/>
                <w:szCs w:val="24"/>
              </w:rPr>
              <w:t>:</w:t>
            </w:r>
          </w:p>
          <w:p w:rsidR="0085591C" w:rsidRDefault="00A07329" w:rsidP="00303DB4">
            <w:pPr>
              <w:spacing w:after="0"/>
              <w:contextualSpacing w:val="0"/>
            </w:pPr>
            <w:r>
              <w:t>Wh</w:t>
            </w:r>
            <w:r w:rsidR="00A542B1">
              <w:t>en students are</w:t>
            </w:r>
            <w:r>
              <w:t xml:space="preserve"> done with their estimates, take measurements of the alligator. An easy method for determining the length of its curved body is to use a string. Hold (or tape) one end of the string to the tip of its snoot and begin laying the string along the body. When the tip of the tail is reached, cut the string. Then, meas</w:t>
            </w:r>
            <w:r w:rsidR="0085591C">
              <w:t xml:space="preserve">ure the length of the string. </w:t>
            </w:r>
          </w:p>
          <w:p w:rsidR="0085591C" w:rsidRDefault="00A07329" w:rsidP="00303DB4">
            <w:pPr>
              <w:spacing w:after="0"/>
              <w:contextualSpacing w:val="0"/>
            </w:pPr>
            <w:r>
              <w:t>You will need a balance</w:t>
            </w:r>
            <w:r w:rsidR="00917592">
              <w:t xml:space="preserve"> (scale)</w:t>
            </w:r>
            <w:r>
              <w:t xml:space="preserve"> to d</w:t>
            </w:r>
            <w:r w:rsidR="00952FFA">
              <w:t>etermine the alligator’s starting</w:t>
            </w:r>
            <w:r>
              <w:t xml:space="preserve"> mass</w:t>
            </w:r>
            <w:r w:rsidR="00952FFA">
              <w:t xml:space="preserve"> (weight)</w:t>
            </w:r>
            <w:r>
              <w:t xml:space="preserve"> on Day 1 as well as its increased mass in the days that fo</w:t>
            </w:r>
            <w:r w:rsidR="0085591C">
              <w:t>llow.</w:t>
            </w:r>
            <w:r w:rsidR="00917592">
              <w:t xml:space="preserve"> </w:t>
            </w:r>
            <w:r w:rsidR="0085591C">
              <w:t xml:space="preserve"> </w:t>
            </w:r>
            <w:r>
              <w:t xml:space="preserve">Once you’ve recorded the mass and length, place the alligator in a dishpan of water. Continue making measurements of its mass and length every day (preferably at about the same time of day) until the alligator reaches its maximum size. </w:t>
            </w:r>
            <w:r w:rsidR="009E6DA0">
              <w:t xml:space="preserve"> Encourage students to observe the gator closely each day and note any other changes that occur. </w:t>
            </w:r>
          </w:p>
          <w:p w:rsidR="00B75DBE" w:rsidRPr="00D4578C" w:rsidRDefault="00A542B1" w:rsidP="00303DB4">
            <w:pPr>
              <w:spacing w:after="0"/>
              <w:contextualSpacing w:val="0"/>
            </w:pPr>
            <w:r>
              <w:t>Record all data on the attached Alligator Growth Chart. Use the same procedure when students have removed the alligator from the water to record shrinkage using the Alligator Shrinkage Record.</w:t>
            </w:r>
          </w:p>
          <w:p w:rsidR="00D4578C" w:rsidRDefault="00D4578C" w:rsidP="00303DB4">
            <w:pPr>
              <w:spacing w:after="0"/>
              <w:contextualSpacing w:val="0"/>
              <w:rPr>
                <w:b/>
              </w:rPr>
            </w:pPr>
          </w:p>
          <w:p w:rsidR="00F16B20" w:rsidRPr="00952FFA" w:rsidRDefault="00A07329" w:rsidP="00303DB4">
            <w:pPr>
              <w:spacing w:after="0"/>
              <w:contextualSpacing w:val="0"/>
            </w:pPr>
            <w:r w:rsidRPr="0085591C">
              <w:rPr>
                <w:b/>
              </w:rPr>
              <w:lastRenderedPageBreak/>
              <w:t>NOTE:</w:t>
            </w:r>
            <w:r>
              <w:t xml:space="preserve"> If you use the string method for determining the alligator’s length, you may want to fasten each of the daily strings to a piece of paper to make a string bar graph. Try different colored strings each day!</w:t>
            </w:r>
          </w:p>
        </w:tc>
      </w:tr>
      <w:tr w:rsidR="00F16B20" w:rsidTr="009E6DA0">
        <w:trPr>
          <w:trHeight w:val="3836"/>
        </w:trPr>
        <w:tc>
          <w:tcPr>
            <w:tcW w:w="9570" w:type="dxa"/>
            <w:gridSpan w:val="2"/>
            <w:shd w:val="clear" w:color="auto" w:fill="FFFFFF"/>
            <w:tcMar>
              <w:top w:w="105" w:type="dxa"/>
              <w:left w:w="105" w:type="dxa"/>
              <w:bottom w:w="105" w:type="dxa"/>
              <w:right w:w="105" w:type="dxa"/>
            </w:tcMar>
          </w:tcPr>
          <w:p w:rsidR="00F16B20" w:rsidRDefault="00D2717E" w:rsidP="00303DB4">
            <w:pPr>
              <w:spacing w:after="0"/>
              <w:contextualSpacing w:val="0"/>
              <w:rPr>
                <w:b/>
                <w:sz w:val="28"/>
                <w:szCs w:val="28"/>
              </w:rPr>
            </w:pPr>
            <w:r>
              <w:rPr>
                <w:b/>
                <w:sz w:val="28"/>
                <w:szCs w:val="28"/>
              </w:rPr>
              <w:lastRenderedPageBreak/>
              <w:t>Explain:</w:t>
            </w:r>
          </w:p>
          <w:p w:rsidR="00836FEE" w:rsidRPr="00836FEE" w:rsidRDefault="00836FEE" w:rsidP="00952FFA">
            <w:pPr>
              <w:pStyle w:val="NormalWeb"/>
              <w:shd w:val="clear" w:color="auto" w:fill="FFFFFF"/>
              <w:spacing w:before="0" w:beforeAutospacing="0" w:after="300" w:afterAutospacing="0"/>
              <w:rPr>
                <w:rFonts w:asciiTheme="minorHAnsi" w:hAnsiTheme="minorHAnsi"/>
                <w:sz w:val="22"/>
                <w:szCs w:val="22"/>
              </w:rPr>
            </w:pPr>
            <w:r w:rsidRPr="00836FEE">
              <w:rPr>
                <w:rFonts w:asciiTheme="minorHAnsi" w:hAnsiTheme="minorHAnsi"/>
                <w:sz w:val="22"/>
                <w:szCs w:val="22"/>
              </w:rPr>
              <w:t>These super-slurping, water-absorbing creatures are made out of a special chemical called a superabsorbent polymer, or hydrogel. Think of this polymer as millions of microscopic sponges that absorb water. These growing creatures are made out of two different polymers: a hydrophilic (water-loving) superabsorbent polymer that is responsible for the water absorbing action and a hydrophobic (water-fearing) polymer. The hydrophilic polymer in the object is the super absorber, similar to the polymer found in baby diapers (the actual chemical is a little different, but it is a similar superabsorbent polymer). The hydrophobic polymer does not absorb water, but its job is to keep the original shape of the creature when it swells up with water.</w:t>
            </w:r>
          </w:p>
          <w:p w:rsidR="00836FEE" w:rsidRPr="00836FEE" w:rsidRDefault="00836FEE" w:rsidP="00952FFA">
            <w:pPr>
              <w:pStyle w:val="NormalWeb"/>
              <w:shd w:val="clear" w:color="auto" w:fill="FFFFFF"/>
              <w:spacing w:before="0" w:beforeAutospacing="0" w:after="300" w:afterAutospacing="0"/>
              <w:rPr>
                <w:rFonts w:asciiTheme="minorHAnsi" w:hAnsiTheme="minorHAnsi"/>
                <w:sz w:val="22"/>
                <w:szCs w:val="22"/>
              </w:rPr>
            </w:pPr>
          </w:p>
          <w:p w:rsidR="00F16B20" w:rsidRPr="00836FEE" w:rsidRDefault="00836FEE" w:rsidP="009E6DA0">
            <w:pPr>
              <w:pStyle w:val="NormalWeb"/>
              <w:shd w:val="clear" w:color="auto" w:fill="FFFFFF"/>
              <w:spacing w:before="0" w:beforeAutospacing="0" w:after="0" w:afterAutospacing="0"/>
              <w:rPr>
                <w:rFonts w:ascii="Lato" w:hAnsi="Lato"/>
                <w:color w:val="777777"/>
                <w:sz w:val="21"/>
                <w:szCs w:val="21"/>
              </w:rPr>
            </w:pPr>
            <w:r w:rsidRPr="00836FEE">
              <w:rPr>
                <w:rFonts w:asciiTheme="minorHAnsi" w:hAnsiTheme="minorHAnsi"/>
                <w:sz w:val="22"/>
                <w:szCs w:val="22"/>
              </w:rPr>
              <w:t>A polymer is simply a very long chain of molecules. Superabsorbent polymers are long chains of molecules that soak up tremendous amounts of water because the water is drawn into and held by the molecules of the polymer. These polymers can absorb as much as 500 times their weight in plain water.</w:t>
            </w:r>
          </w:p>
        </w:tc>
      </w:tr>
      <w:tr w:rsidR="00F16B20" w:rsidTr="00952FFA">
        <w:trPr>
          <w:trHeight w:val="2864"/>
        </w:trPr>
        <w:tc>
          <w:tcPr>
            <w:tcW w:w="9570" w:type="dxa"/>
            <w:gridSpan w:val="2"/>
            <w:shd w:val="clear" w:color="auto" w:fill="FFFFFF"/>
            <w:tcMar>
              <w:top w:w="105" w:type="dxa"/>
              <w:left w:w="105" w:type="dxa"/>
              <w:bottom w:w="105" w:type="dxa"/>
              <w:right w:w="105" w:type="dxa"/>
            </w:tcMar>
          </w:tcPr>
          <w:p w:rsidR="00F16B20" w:rsidRDefault="00D2717E" w:rsidP="00303DB4">
            <w:pPr>
              <w:spacing w:after="0"/>
              <w:contextualSpacing w:val="0"/>
              <w:rPr>
                <w:b/>
                <w:sz w:val="28"/>
                <w:szCs w:val="28"/>
              </w:rPr>
            </w:pPr>
            <w:r>
              <w:rPr>
                <w:b/>
                <w:sz w:val="28"/>
                <w:szCs w:val="28"/>
              </w:rPr>
              <w:t xml:space="preserve">Elaborate: </w:t>
            </w:r>
          </w:p>
          <w:p w:rsidR="0085591C" w:rsidRDefault="0085591C" w:rsidP="00303DB4">
            <w:pPr>
              <w:spacing w:after="0"/>
              <w:contextualSpacing w:val="0"/>
            </w:pPr>
            <w:r>
              <w:t xml:space="preserve">Your Gro-Beast Alligator can be used for many other science projects. For example, your students can investigate the effect of the growth of Gro-Beast Alligators by using: </w:t>
            </w:r>
          </w:p>
          <w:p w:rsidR="0085591C" w:rsidRDefault="0085591C" w:rsidP="00303DB4">
            <w:pPr>
              <w:pStyle w:val="ListParagraph"/>
              <w:numPr>
                <w:ilvl w:val="0"/>
                <w:numId w:val="3"/>
              </w:numPr>
              <w:spacing w:after="0"/>
            </w:pPr>
            <w:r>
              <w:t xml:space="preserve">Different water sources: pond water, salt water, bottled water, distilled water, etc. </w:t>
            </w:r>
          </w:p>
          <w:p w:rsidR="0085591C" w:rsidRDefault="0085591C" w:rsidP="00303DB4">
            <w:pPr>
              <w:pStyle w:val="ListParagraph"/>
              <w:numPr>
                <w:ilvl w:val="0"/>
                <w:numId w:val="3"/>
              </w:numPr>
              <w:spacing w:after="0"/>
            </w:pPr>
            <w:r>
              <w:t xml:space="preserve">Different concentrations of various dissolved substances, such as sugar, baking soda, or salt. </w:t>
            </w:r>
          </w:p>
          <w:p w:rsidR="0085591C" w:rsidRDefault="0085591C" w:rsidP="00303DB4">
            <w:pPr>
              <w:pStyle w:val="ListParagraph"/>
              <w:numPr>
                <w:ilvl w:val="0"/>
                <w:numId w:val="3"/>
              </w:numPr>
              <w:spacing w:after="0"/>
            </w:pPr>
            <w:r>
              <w:t xml:space="preserve">Different solutions with varying pH, </w:t>
            </w:r>
            <w:r w:rsidR="00952FFA">
              <w:t>such as different strengths</w:t>
            </w:r>
            <w:r>
              <w:t xml:space="preserve"> of vinegar, baking soda, etc. </w:t>
            </w:r>
          </w:p>
          <w:p w:rsidR="0085591C" w:rsidRDefault="0085591C" w:rsidP="00303DB4">
            <w:pPr>
              <w:pStyle w:val="ListParagraph"/>
              <w:numPr>
                <w:ilvl w:val="0"/>
                <w:numId w:val="3"/>
              </w:numPr>
              <w:spacing w:after="0"/>
            </w:pPr>
            <w:r>
              <w:t xml:space="preserve">Different temperatures. </w:t>
            </w:r>
          </w:p>
          <w:p w:rsidR="0085591C" w:rsidRDefault="0085591C" w:rsidP="00303DB4">
            <w:pPr>
              <w:pStyle w:val="ListParagraph"/>
              <w:numPr>
                <w:ilvl w:val="0"/>
                <w:numId w:val="3"/>
              </w:numPr>
              <w:spacing w:after="0"/>
            </w:pPr>
            <w:r>
              <w:t xml:space="preserve">Different exposures to direct sunlight. </w:t>
            </w:r>
          </w:p>
          <w:p w:rsidR="00F16B20" w:rsidRDefault="0085591C" w:rsidP="00303DB4">
            <w:pPr>
              <w:pStyle w:val="ListParagraph"/>
              <w:numPr>
                <w:ilvl w:val="0"/>
                <w:numId w:val="3"/>
              </w:numPr>
              <w:spacing w:after="0"/>
            </w:pPr>
            <w:r>
              <w:t>Different carbonated beverages, sugar vs. sugar free soda, etc.</w:t>
            </w:r>
          </w:p>
        </w:tc>
      </w:tr>
      <w:tr w:rsidR="00F16B20" w:rsidTr="00952FFA">
        <w:trPr>
          <w:trHeight w:val="1946"/>
        </w:trPr>
        <w:tc>
          <w:tcPr>
            <w:tcW w:w="9570" w:type="dxa"/>
            <w:gridSpan w:val="2"/>
            <w:shd w:val="clear" w:color="auto" w:fill="FFFFFF"/>
            <w:tcMar>
              <w:top w:w="105" w:type="dxa"/>
              <w:left w:w="105" w:type="dxa"/>
              <w:bottom w:w="105" w:type="dxa"/>
              <w:right w:w="105" w:type="dxa"/>
            </w:tcMar>
          </w:tcPr>
          <w:p w:rsidR="00F16B20" w:rsidRDefault="00D2717E" w:rsidP="00303DB4">
            <w:pPr>
              <w:spacing w:after="0"/>
              <w:contextualSpacing w:val="0"/>
              <w:rPr>
                <w:b/>
                <w:sz w:val="28"/>
                <w:szCs w:val="28"/>
              </w:rPr>
            </w:pPr>
            <w:r>
              <w:rPr>
                <w:b/>
                <w:sz w:val="28"/>
                <w:szCs w:val="28"/>
              </w:rPr>
              <w:t>Evaluate:</w:t>
            </w:r>
          </w:p>
          <w:p w:rsidR="00F16B20" w:rsidRDefault="002E7358" w:rsidP="00952FFA">
            <w:pPr>
              <w:spacing w:after="0"/>
              <w:contextualSpacing w:val="0"/>
            </w:pPr>
            <w:r>
              <w:t xml:space="preserve">You can use this lesson to </w:t>
            </w:r>
            <w:r w:rsidR="0085591C">
              <w:t>teach prediction</w:t>
            </w:r>
            <w:r>
              <w:t>, as well as analyzing and interpreting data</w:t>
            </w:r>
            <w:r w:rsidR="0085591C">
              <w:t>.</w:t>
            </w:r>
            <w:r>
              <w:t xml:space="preserve"> Each small group of students</w:t>
            </w:r>
            <w:r w:rsidR="0085591C">
              <w:t xml:space="preserve"> are assigned to measure the length and determine the mass of the alligator each day. The Growing a</w:t>
            </w:r>
            <w:r>
              <w:t xml:space="preserve">nd Shrinking activities takes </w:t>
            </w:r>
            <w:r w:rsidR="00952FFA">
              <w:t xml:space="preserve">about </w:t>
            </w:r>
            <w:r w:rsidR="0085591C">
              <w:t>four weeks. Over this period, all students have a chance to take me</w:t>
            </w:r>
            <w:r>
              <w:t>asurements and write them on their individual</w:t>
            </w:r>
            <w:r w:rsidR="0085591C">
              <w:t xml:space="preserve"> chart</w:t>
            </w:r>
            <w:r w:rsidR="006D6111">
              <w:t>s. You will</w:t>
            </w:r>
            <w:r>
              <w:t xml:space="preserve"> be able to </w:t>
            </w:r>
            <w:r w:rsidR="0085591C">
              <w:t>assess each child’s measuring skills dur</w:t>
            </w:r>
            <w:r>
              <w:t xml:space="preserve">ing this time. </w:t>
            </w:r>
            <w:bookmarkStart w:id="0" w:name="_gjdgxs" w:colFirst="0" w:colLast="0"/>
            <w:bookmarkEnd w:id="0"/>
          </w:p>
        </w:tc>
      </w:tr>
      <w:tr w:rsidR="00303DB4" w:rsidTr="00303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76"/>
        </w:trPr>
        <w:tc>
          <w:tcPr>
            <w:tcW w:w="9570" w:type="dxa"/>
            <w:gridSpan w:val="2"/>
          </w:tcPr>
          <w:p w:rsidR="00303DB4" w:rsidRDefault="00303DB4" w:rsidP="00303DB4">
            <w:pPr>
              <w:spacing w:after="0" w:line="240" w:lineRule="auto"/>
              <w:rPr>
                <w:b/>
                <w:sz w:val="28"/>
                <w:szCs w:val="28"/>
              </w:rPr>
            </w:pPr>
            <w:bookmarkStart w:id="1" w:name="_30j0zll" w:colFirst="0" w:colLast="0"/>
            <w:bookmarkEnd w:id="1"/>
            <w:r>
              <w:rPr>
                <w:b/>
                <w:sz w:val="28"/>
                <w:szCs w:val="28"/>
              </w:rPr>
              <w:t>Teacher Notes:</w:t>
            </w:r>
          </w:p>
          <w:p w:rsidR="00303DB4" w:rsidRDefault="00303DB4" w:rsidP="00303DB4">
            <w:pPr>
              <w:pStyle w:val="ListParagraph"/>
              <w:numPr>
                <w:ilvl w:val="0"/>
                <w:numId w:val="4"/>
              </w:numPr>
              <w:spacing w:after="0" w:line="240" w:lineRule="auto"/>
            </w:pPr>
            <w:r>
              <w:t>Using distilled water will allow the gator to grow larger and will assist in preserving the gator so that you can reuse several times (does not contain chlorine or other additives found in tap water).</w:t>
            </w:r>
          </w:p>
          <w:p w:rsidR="00303DB4" w:rsidRDefault="00303DB4" w:rsidP="00303DB4">
            <w:pPr>
              <w:pStyle w:val="ListParagraph"/>
              <w:numPr>
                <w:ilvl w:val="0"/>
                <w:numId w:val="4"/>
              </w:numPr>
              <w:spacing w:after="0" w:line="240" w:lineRule="auto"/>
            </w:pPr>
            <w:r>
              <w:t>Encourage students to collect other data measurements (Ex. How much water they are adding/ losing, width of the gator, height of the gator.</w:t>
            </w:r>
          </w:p>
          <w:p w:rsidR="00303DB4" w:rsidRDefault="009E6DA0" w:rsidP="00303DB4">
            <w:pPr>
              <w:pStyle w:val="ListParagraph"/>
              <w:numPr>
                <w:ilvl w:val="0"/>
                <w:numId w:val="4"/>
              </w:numPr>
              <w:spacing w:after="0" w:line="240" w:lineRule="auto"/>
            </w:pPr>
            <w:r>
              <w:t>While it works best in small groups, t</w:t>
            </w:r>
            <w:r w:rsidR="00952FFA">
              <w:t xml:space="preserve">his </w:t>
            </w:r>
            <w:r w:rsidR="00633463">
              <w:t xml:space="preserve">lesson also works very well as a whole </w:t>
            </w:r>
            <w:r w:rsidR="00952FFA">
              <w:t>class</w:t>
            </w:r>
            <w:r w:rsidR="00633463">
              <w:t xml:space="preserve"> activity where</w:t>
            </w:r>
            <w:r w:rsidR="00303DB4">
              <w:t xml:space="preserve"> different</w:t>
            </w:r>
            <w:r w:rsidR="00633463">
              <w:t xml:space="preserve"> groups of students </w:t>
            </w:r>
            <w:r w:rsidR="00303DB4">
              <w:t>take daily measure</w:t>
            </w:r>
            <w:r w:rsidR="00836FEE">
              <w:t>ments</w:t>
            </w:r>
            <w:r>
              <w:t xml:space="preserve"> of your class gator</w:t>
            </w:r>
            <w:r w:rsidR="00633463">
              <w:t xml:space="preserve">. You can then develop a class data chart and a class graph to add to each day. </w:t>
            </w:r>
          </w:p>
          <w:p w:rsidR="00952FFA" w:rsidRPr="00303DB4" w:rsidRDefault="00952FFA" w:rsidP="00303DB4">
            <w:pPr>
              <w:pStyle w:val="ListParagraph"/>
              <w:numPr>
                <w:ilvl w:val="0"/>
                <w:numId w:val="4"/>
              </w:numPr>
              <w:spacing w:after="0" w:line="240" w:lineRule="auto"/>
            </w:pPr>
            <w:r>
              <w:t xml:space="preserve">Super absorbing animals of all kinds can also be found at dollar stores </w:t>
            </w:r>
          </w:p>
        </w:tc>
      </w:tr>
    </w:tbl>
    <w:p w:rsidR="00F16B20" w:rsidRDefault="00F16B20">
      <w:pPr>
        <w:spacing w:after="0" w:line="240" w:lineRule="auto"/>
      </w:pPr>
    </w:p>
    <w:p w:rsidR="00D4578C" w:rsidRDefault="00D4578C">
      <w:pPr>
        <w:spacing w:after="0" w:line="240" w:lineRule="auto"/>
        <w:rPr>
          <w:rFonts w:ascii="Arial" w:hAnsi="Arial" w:cs="Arial"/>
          <w:color w:val="2A2A2A"/>
          <w:sz w:val="20"/>
          <w:szCs w:val="20"/>
        </w:rPr>
      </w:pPr>
      <w:r>
        <w:rPr>
          <w:rStyle w:val="Strong"/>
          <w:rFonts w:ascii="Arial" w:hAnsi="Arial" w:cs="Arial"/>
          <w:color w:val="2A2A2A"/>
          <w:sz w:val="20"/>
          <w:szCs w:val="20"/>
          <w:shd w:val="clear" w:color="auto" w:fill="FFFFFF"/>
        </w:rPr>
        <w:lastRenderedPageBreak/>
        <w:t>Contributed by: </w:t>
      </w:r>
      <w:bookmarkStart w:id="2" w:name="_GoBack"/>
      <w:bookmarkEnd w:id="2"/>
      <w:r>
        <w:rPr>
          <w:rFonts w:ascii="Arial" w:hAnsi="Arial" w:cs="Arial"/>
          <w:color w:val="2A2A2A"/>
          <w:sz w:val="20"/>
          <w:szCs w:val="20"/>
        </w:rPr>
        <w:br/>
      </w:r>
      <w:r>
        <w:rPr>
          <w:rFonts w:ascii="Arial" w:hAnsi="Arial" w:cs="Arial"/>
          <w:color w:val="2A2A2A"/>
          <w:sz w:val="20"/>
          <w:szCs w:val="20"/>
          <w:shd w:val="clear" w:color="auto" w:fill="FFFFFF"/>
        </w:rPr>
        <w:t>​</w:t>
      </w:r>
      <w:r>
        <w:rPr>
          <w:rFonts w:ascii="Arial" w:hAnsi="Arial" w:cs="Arial"/>
          <w:color w:val="2A2A2A"/>
          <w:sz w:val="20"/>
          <w:szCs w:val="20"/>
          <w:shd w:val="clear" w:color="auto" w:fill="FFFFFF"/>
        </w:rPr>
        <w:t xml:space="preserve">Tammy </w:t>
      </w:r>
      <w:proofErr w:type="spellStart"/>
      <w:r>
        <w:rPr>
          <w:rFonts w:ascii="Arial" w:hAnsi="Arial" w:cs="Arial"/>
          <w:color w:val="2A2A2A"/>
          <w:sz w:val="20"/>
          <w:szCs w:val="20"/>
          <w:shd w:val="clear" w:color="auto" w:fill="FFFFFF"/>
        </w:rPr>
        <w:t>Nowell</w:t>
      </w:r>
      <w:proofErr w:type="spellEnd"/>
      <w:r>
        <w:rPr>
          <w:rFonts w:ascii="Arial" w:hAnsi="Arial" w:cs="Arial"/>
          <w:color w:val="2A2A2A"/>
          <w:sz w:val="20"/>
          <w:szCs w:val="20"/>
        </w:rPr>
        <w:br/>
      </w:r>
      <w:r>
        <w:rPr>
          <w:rFonts w:ascii="Arial" w:hAnsi="Arial" w:cs="Arial"/>
          <w:color w:val="2A2A2A"/>
          <w:sz w:val="20"/>
          <w:szCs w:val="20"/>
          <w:shd w:val="clear" w:color="auto" w:fill="FFFFFF"/>
        </w:rPr>
        <w:t>Southwest</w:t>
      </w:r>
      <w:r>
        <w:rPr>
          <w:rFonts w:ascii="Arial" w:hAnsi="Arial" w:cs="Arial"/>
          <w:color w:val="2A2A2A"/>
          <w:sz w:val="20"/>
          <w:szCs w:val="20"/>
          <w:shd w:val="clear" w:color="auto" w:fill="FFFFFF"/>
        </w:rPr>
        <w:t xml:space="preserve"> GYSTC Coordinator </w:t>
      </w:r>
    </w:p>
    <w:p w:rsidR="00D4578C" w:rsidRDefault="00D4578C">
      <w:pPr>
        <w:spacing w:after="0" w:line="240" w:lineRule="auto"/>
      </w:pPr>
      <w:r>
        <w:rPr>
          <w:rFonts w:ascii="Arial" w:hAnsi="Arial" w:cs="Arial"/>
          <w:color w:val="2A2A2A"/>
          <w:sz w:val="20"/>
          <w:szCs w:val="20"/>
        </w:rPr>
        <w:t>Tammy.Nowell@bainbridge.edu</w:t>
      </w:r>
    </w:p>
    <w:sectPr w:rsidR="00D457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5C79"/>
    <w:multiLevelType w:val="hybridMultilevel"/>
    <w:tmpl w:val="9592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B30A4"/>
    <w:multiLevelType w:val="hybridMultilevel"/>
    <w:tmpl w:val="7CF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058A6"/>
    <w:multiLevelType w:val="hybridMultilevel"/>
    <w:tmpl w:val="34E0C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8F00E0"/>
    <w:multiLevelType w:val="multilevel"/>
    <w:tmpl w:val="96442CF0"/>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20"/>
    <w:rsid w:val="001452BF"/>
    <w:rsid w:val="002C6964"/>
    <w:rsid w:val="002E7358"/>
    <w:rsid w:val="00303DB4"/>
    <w:rsid w:val="003743FB"/>
    <w:rsid w:val="003C4AFC"/>
    <w:rsid w:val="004E2185"/>
    <w:rsid w:val="005050A4"/>
    <w:rsid w:val="00517577"/>
    <w:rsid w:val="00524BF2"/>
    <w:rsid w:val="00633463"/>
    <w:rsid w:val="006A129C"/>
    <w:rsid w:val="006D6111"/>
    <w:rsid w:val="007348B2"/>
    <w:rsid w:val="00836FEE"/>
    <w:rsid w:val="0085591C"/>
    <w:rsid w:val="00917592"/>
    <w:rsid w:val="00952FFA"/>
    <w:rsid w:val="009E6DA0"/>
    <w:rsid w:val="00A07329"/>
    <w:rsid w:val="00A111EA"/>
    <w:rsid w:val="00A542B1"/>
    <w:rsid w:val="00B75DBE"/>
    <w:rsid w:val="00BB720E"/>
    <w:rsid w:val="00C24741"/>
    <w:rsid w:val="00D2717E"/>
    <w:rsid w:val="00D4578C"/>
    <w:rsid w:val="00D91230"/>
    <w:rsid w:val="00DA40C1"/>
    <w:rsid w:val="00F1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0787"/>
  <w15:docId w15:val="{289AF004-D942-443B-BCFD-87E482D6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07329"/>
    <w:rPr>
      <w:color w:val="0563C1" w:themeColor="hyperlink"/>
      <w:u w:val="single"/>
    </w:rPr>
  </w:style>
  <w:style w:type="paragraph" w:styleId="ListParagraph">
    <w:name w:val="List Paragraph"/>
    <w:basedOn w:val="Normal"/>
    <w:uiPriority w:val="34"/>
    <w:qFormat/>
    <w:rsid w:val="00A07329"/>
    <w:pPr>
      <w:ind w:left="720"/>
      <w:contextualSpacing/>
    </w:pPr>
  </w:style>
  <w:style w:type="paragraph" w:styleId="NormalWeb">
    <w:name w:val="Normal (Web)"/>
    <w:basedOn w:val="Normal"/>
    <w:uiPriority w:val="99"/>
    <w:unhideWhenUsed/>
    <w:rsid w:val="00836F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45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6379">
      <w:bodyDiv w:val="1"/>
      <w:marLeft w:val="0"/>
      <w:marRight w:val="0"/>
      <w:marTop w:val="0"/>
      <w:marBottom w:val="0"/>
      <w:divBdr>
        <w:top w:val="none" w:sz="0" w:space="0" w:color="auto"/>
        <w:left w:val="none" w:sz="0" w:space="0" w:color="auto"/>
        <w:bottom w:val="none" w:sz="0" w:space="0" w:color="auto"/>
        <w:right w:val="none" w:sz="0" w:space="0" w:color="auto"/>
      </w:divBdr>
    </w:div>
    <w:div w:id="34682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sourc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Judy</dc:creator>
  <cp:lastModifiedBy>Thomas Brown</cp:lastModifiedBy>
  <cp:revision>8</cp:revision>
  <dcterms:created xsi:type="dcterms:W3CDTF">2017-10-16T19:29:00Z</dcterms:created>
  <dcterms:modified xsi:type="dcterms:W3CDTF">2018-05-30T18:14:00Z</dcterms:modified>
</cp:coreProperties>
</file>